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66E1" w14:textId="77777777" w:rsidR="00932CAB" w:rsidRDefault="005018F6" w:rsidP="00167B67">
      <w:pPr>
        <w:rPr>
          <w:b/>
        </w:rPr>
      </w:pPr>
      <w:r>
        <w:rPr>
          <w:b/>
          <w:noProof/>
        </w:rPr>
        <w:drawing>
          <wp:anchor distT="0" distB="0" distL="114300" distR="114300" simplePos="0" relativeHeight="251658240" behindDoc="1" locked="0" layoutInCell="1" allowOverlap="1" wp14:anchorId="631D9832" wp14:editId="0164AF07">
            <wp:simplePos x="0" y="0"/>
            <wp:positionH relativeFrom="column">
              <wp:posOffset>-4445</wp:posOffset>
            </wp:positionH>
            <wp:positionV relativeFrom="paragraph">
              <wp:posOffset>-252095</wp:posOffset>
            </wp:positionV>
            <wp:extent cx="5760720" cy="1217295"/>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217295"/>
                    </a:xfrm>
                    <a:prstGeom prst="rect">
                      <a:avLst/>
                    </a:prstGeom>
                  </pic:spPr>
                </pic:pic>
              </a:graphicData>
            </a:graphic>
            <wp14:sizeRelH relativeFrom="page">
              <wp14:pctWidth>0</wp14:pctWidth>
            </wp14:sizeRelH>
            <wp14:sizeRelV relativeFrom="page">
              <wp14:pctHeight>0</wp14:pctHeight>
            </wp14:sizeRelV>
          </wp:anchor>
        </w:drawing>
      </w:r>
    </w:p>
    <w:p w14:paraId="66A691B7" w14:textId="77777777" w:rsidR="00167B67" w:rsidRDefault="00167B67" w:rsidP="00167B67">
      <w:pPr>
        <w:rPr>
          <w:b/>
        </w:rPr>
      </w:pPr>
    </w:p>
    <w:p w14:paraId="1F30FA5D" w14:textId="77777777" w:rsidR="005018F6" w:rsidRDefault="005018F6" w:rsidP="00167B67">
      <w:pPr>
        <w:pStyle w:val="berschrift2"/>
      </w:pPr>
    </w:p>
    <w:p w14:paraId="3501964E" w14:textId="77777777" w:rsidR="005018F6" w:rsidRDefault="005018F6" w:rsidP="00167B67">
      <w:pPr>
        <w:pStyle w:val="berschrift2"/>
      </w:pPr>
    </w:p>
    <w:p w14:paraId="18F003FB" w14:textId="77777777" w:rsidR="00C56D7E" w:rsidRDefault="00C56D7E" w:rsidP="00167B67">
      <w:pPr>
        <w:pStyle w:val="berschrift2"/>
      </w:pPr>
    </w:p>
    <w:p w14:paraId="4AD57F43" w14:textId="77777777" w:rsidR="00C56D7E" w:rsidRDefault="00C56D7E" w:rsidP="00167B67">
      <w:pPr>
        <w:pStyle w:val="berschrift2"/>
      </w:pPr>
    </w:p>
    <w:p w14:paraId="7B800753" w14:textId="77777777" w:rsidR="00167B67" w:rsidRDefault="00167B67" w:rsidP="00167B67">
      <w:pPr>
        <w:pStyle w:val="berschrift2"/>
      </w:pPr>
      <w:r>
        <w:t>Bekanntmachung</w:t>
      </w:r>
    </w:p>
    <w:p w14:paraId="79A6011F" w14:textId="77777777" w:rsidR="00167B67" w:rsidRDefault="00167B67" w:rsidP="00167B67">
      <w:pPr>
        <w:rPr>
          <w:sz w:val="32"/>
        </w:rPr>
      </w:pPr>
    </w:p>
    <w:p w14:paraId="4EEEE07D" w14:textId="14F179A7" w:rsidR="00AE16D4" w:rsidRPr="00AE16D4" w:rsidRDefault="00AE16D4" w:rsidP="00AE16D4">
      <w:pPr>
        <w:tabs>
          <w:tab w:val="left" w:pos="1701"/>
          <w:tab w:val="left" w:pos="4253"/>
          <w:tab w:val="left" w:pos="6237"/>
          <w:tab w:val="left" w:pos="8222"/>
        </w:tabs>
      </w:pPr>
      <w:r w:rsidRPr="00AE16D4">
        <w:t xml:space="preserve">Der Markt Winzer hat das Änderungsverfahren zum Bebauungsplan „GE Neßlbach“ (Gewerbegebiet Neßlbach) durch Deckblatt Nr. 3 im Bereich zwischen den Ortschaften Neßlbach und </w:t>
      </w:r>
      <w:proofErr w:type="spellStart"/>
      <w:r w:rsidRPr="00AE16D4">
        <w:t>Sattling</w:t>
      </w:r>
      <w:proofErr w:type="spellEnd"/>
      <w:r w:rsidRPr="00AE16D4">
        <w:t xml:space="preserve"> durchgeführt. Das Deckblatt Nr. 3 betrifft im Wesentlichen die Anpassung der Baugrenze</w:t>
      </w:r>
      <w:r>
        <w:t>n</w:t>
      </w:r>
      <w:r w:rsidRPr="00AE16D4">
        <w:t>,</w:t>
      </w:r>
      <w:r>
        <w:t xml:space="preserve"> die Pflanzung einer innerbetrieblichen Grünfläche und die Reduzierung der Anbauverbotszone zur Straße St 2125</w:t>
      </w:r>
      <w:r w:rsidRPr="00AE16D4">
        <w:t xml:space="preserve">. Der Marktrat Winzer hat mit Beschluss vom 21.07.2025 das Deckblatt Nr. 3 i. d. F. vom 21.07.2025 als Satzung beschlossen. Dieser Beschluss wird hiermit gem. § 10 Abs. 3 Baugesetzbuch (BauGB) ortsüblich bekannt gemacht.  Der Bebauungsplan tritt mit dieser Bekanntmachung in Kraft und liegt ab 21.08.2025 während der üblichen Geschäftszeiten in der Marktverwaltung Winzer (Rathaus), Schwanenkirchner Str. 2, 94577 Winzer, Zimmer 12 auf. Auf Verlangen wird über den Inhalt Auskunft gegeben. Jedermann kann den Bebauungsplan mit Begründung und die Grundlagen hierzu, sowie die zusammenfassende Erklärung über die Art und Weise, wie die Umweltbelange und die Ergebnisse der Öffentlichkeits- und Behördenbeteiligung berücksichtigt wurden, und aus welchen Gründen der Plan nach Abwägung mit den geprüften, in Betracht kommenden anderweitigen Planungsmöglichkeiten gewählt wurde, einsehen. </w:t>
      </w:r>
    </w:p>
    <w:p w14:paraId="3D26FB78" w14:textId="77777777" w:rsidR="00AE16D4" w:rsidRPr="00AE16D4" w:rsidRDefault="00AE16D4" w:rsidP="00AE16D4">
      <w:pPr>
        <w:tabs>
          <w:tab w:val="left" w:pos="1701"/>
          <w:tab w:val="left" w:pos="4253"/>
          <w:tab w:val="left" w:pos="6237"/>
          <w:tab w:val="left" w:pos="8222"/>
        </w:tabs>
      </w:pPr>
    </w:p>
    <w:p w14:paraId="1B89FF31" w14:textId="77777777" w:rsidR="00AE16D4" w:rsidRPr="00AE16D4" w:rsidRDefault="00AE16D4" w:rsidP="00AE16D4">
      <w:pPr>
        <w:tabs>
          <w:tab w:val="left" w:pos="1701"/>
          <w:tab w:val="left" w:pos="4253"/>
          <w:tab w:val="left" w:pos="6237"/>
          <w:tab w:val="left" w:pos="8222"/>
        </w:tabs>
      </w:pPr>
    </w:p>
    <w:p w14:paraId="180FB10D" w14:textId="0B082D2C" w:rsidR="00AE16D4" w:rsidRPr="00AE16D4" w:rsidRDefault="00AE16D4" w:rsidP="00AE16D4">
      <w:pPr>
        <w:tabs>
          <w:tab w:val="left" w:pos="1701"/>
          <w:tab w:val="left" w:pos="4253"/>
          <w:tab w:val="left" w:pos="6237"/>
          <w:tab w:val="left" w:pos="8222"/>
        </w:tabs>
      </w:pPr>
      <w:r w:rsidRPr="00AE16D4">
        <w:t xml:space="preserve">Auf die Voraussetzung für die Geltendmachung der Verletzung von Verfahrens- und Formvorschriften und von Mängeln der Abwägung, sowie der Rechtsfolgen des § 215 Abs. 1 BauGB wird hingewiesen. Unbeachtlich werden demnach </w:t>
      </w:r>
    </w:p>
    <w:p w14:paraId="2D0806AE" w14:textId="77777777" w:rsidR="00AE16D4" w:rsidRPr="00AE16D4" w:rsidRDefault="00AE16D4" w:rsidP="00AE16D4">
      <w:pPr>
        <w:numPr>
          <w:ilvl w:val="0"/>
          <w:numId w:val="5"/>
        </w:numPr>
        <w:tabs>
          <w:tab w:val="left" w:pos="1701"/>
          <w:tab w:val="left" w:pos="4253"/>
          <w:tab w:val="left" w:pos="6237"/>
          <w:tab w:val="left" w:pos="8222"/>
        </w:tabs>
      </w:pPr>
      <w:r w:rsidRPr="00AE16D4">
        <w:t>eine nach § 214 Abs. 1 Satz 1 Nrn. 1 bis 3 BauGB beachtliche Verletzung der dort bezeichneten Verfahrens- und Formvorschriften und</w:t>
      </w:r>
    </w:p>
    <w:p w14:paraId="27F51B94" w14:textId="77777777" w:rsidR="00AE16D4" w:rsidRPr="00AE16D4" w:rsidRDefault="00AE16D4" w:rsidP="00AE16D4">
      <w:pPr>
        <w:numPr>
          <w:ilvl w:val="0"/>
          <w:numId w:val="5"/>
        </w:numPr>
        <w:tabs>
          <w:tab w:val="left" w:pos="1701"/>
          <w:tab w:val="left" w:pos="4253"/>
          <w:tab w:val="left" w:pos="6237"/>
          <w:tab w:val="left" w:pos="8222"/>
        </w:tabs>
      </w:pPr>
      <w:r w:rsidRPr="00AE16D4">
        <w:t xml:space="preserve">eine unter Berücksichtigung des § 214 Abs. 2 BauGB beachtliche Verletzung der Vorschriften über das Verhältnis des Bebauungsplans und des Flächennutzungsplans und </w:t>
      </w:r>
    </w:p>
    <w:p w14:paraId="012FB27E" w14:textId="77777777" w:rsidR="00AE16D4" w:rsidRPr="00AE16D4" w:rsidRDefault="00AE16D4" w:rsidP="00AE16D4">
      <w:pPr>
        <w:numPr>
          <w:ilvl w:val="0"/>
          <w:numId w:val="5"/>
        </w:numPr>
        <w:tabs>
          <w:tab w:val="left" w:pos="1701"/>
          <w:tab w:val="left" w:pos="4253"/>
          <w:tab w:val="left" w:pos="6237"/>
          <w:tab w:val="left" w:pos="8222"/>
        </w:tabs>
      </w:pPr>
      <w:r w:rsidRPr="00AE16D4">
        <w:t>nach § 214 Abs. 3 Satz 2 BauGB beachtliche Mängel des Abwägungsvorgangs,</w:t>
      </w:r>
    </w:p>
    <w:p w14:paraId="1DDF4851" w14:textId="77777777" w:rsidR="00AE16D4" w:rsidRPr="00AE16D4" w:rsidRDefault="00AE16D4" w:rsidP="00AE16D4">
      <w:pPr>
        <w:tabs>
          <w:tab w:val="left" w:pos="1701"/>
          <w:tab w:val="left" w:pos="4253"/>
          <w:tab w:val="left" w:pos="6237"/>
          <w:tab w:val="left" w:pos="8222"/>
        </w:tabs>
      </w:pPr>
      <w:r w:rsidRPr="00AE16D4">
        <w:t>wenn sie nicht innerhalb eines Jahres seit dieser Bekanntmachung schriftlich gegenüber dem Markt Winzer geltend gemacht worden sind; der Sachverhalt, der die Verletzung oder den Mangel begründen soll, ist darzulegen.</w:t>
      </w:r>
    </w:p>
    <w:p w14:paraId="48351C6E" w14:textId="77777777" w:rsidR="00587E0E" w:rsidRPr="00236AB1" w:rsidRDefault="00587E0E" w:rsidP="00977B33">
      <w:pPr>
        <w:tabs>
          <w:tab w:val="left" w:pos="1701"/>
          <w:tab w:val="left" w:pos="4253"/>
          <w:tab w:val="left" w:pos="6237"/>
          <w:tab w:val="left" w:pos="8222"/>
        </w:tabs>
      </w:pPr>
    </w:p>
    <w:p w14:paraId="38908014" w14:textId="77777777" w:rsidR="00897FCC" w:rsidRPr="00236AB1" w:rsidRDefault="00897FCC" w:rsidP="00977B33">
      <w:pPr>
        <w:tabs>
          <w:tab w:val="left" w:pos="1701"/>
          <w:tab w:val="left" w:pos="4253"/>
          <w:tab w:val="left" w:pos="6237"/>
          <w:tab w:val="left" w:pos="8222"/>
        </w:tabs>
      </w:pPr>
    </w:p>
    <w:p w14:paraId="1A8E4A1F" w14:textId="77777777" w:rsidR="007C580E" w:rsidRPr="00236AB1" w:rsidRDefault="007C580E" w:rsidP="00167B67"/>
    <w:p w14:paraId="5FBE4C58" w14:textId="29299963" w:rsidR="007C580E" w:rsidRPr="00236AB1" w:rsidRDefault="007C580E" w:rsidP="007C580E">
      <w:r w:rsidRPr="00236AB1">
        <w:t xml:space="preserve">Markt Winzer, </w:t>
      </w:r>
      <w:r w:rsidR="00AE16D4">
        <w:t>2</w:t>
      </w:r>
      <w:r w:rsidR="002B6CD3">
        <w:t>1</w:t>
      </w:r>
      <w:r w:rsidR="00AE16D4">
        <w:t>.08.2025</w:t>
      </w:r>
    </w:p>
    <w:p w14:paraId="2283B7F1" w14:textId="77777777" w:rsidR="00143C4A" w:rsidRDefault="00143C4A" w:rsidP="007C580E"/>
    <w:p w14:paraId="32346893" w14:textId="77777777" w:rsidR="00106275" w:rsidRPr="00236AB1" w:rsidRDefault="00106275" w:rsidP="007C580E"/>
    <w:p w14:paraId="1F9CA8F2" w14:textId="77777777" w:rsidR="00143C4A" w:rsidRPr="00236AB1" w:rsidRDefault="00143C4A" w:rsidP="007C580E"/>
    <w:p w14:paraId="12F08CFE" w14:textId="34563B5D" w:rsidR="00B03B7B" w:rsidRDefault="002B6CD3" w:rsidP="007C580E">
      <w:bookmarkStart w:id="0" w:name="_Hlk143084476"/>
      <w:r>
        <w:t>Jürgen Roith</w:t>
      </w:r>
    </w:p>
    <w:p w14:paraId="32C87182" w14:textId="67FC223B" w:rsidR="002B6CD3" w:rsidRPr="00236AB1" w:rsidRDefault="002B6CD3" w:rsidP="002B6CD3">
      <w:r>
        <w:t>1. Bürgermeister</w:t>
      </w:r>
    </w:p>
    <w:bookmarkEnd w:id="0"/>
    <w:p w14:paraId="315DB900" w14:textId="77777777" w:rsidR="007C580E" w:rsidRDefault="007C580E" w:rsidP="007C580E"/>
    <w:p w14:paraId="738F0ED6" w14:textId="77777777" w:rsidR="00C56D7E" w:rsidRDefault="00C56D7E" w:rsidP="007C580E"/>
    <w:p w14:paraId="52391FC7" w14:textId="77777777" w:rsidR="00106275" w:rsidRDefault="00106275" w:rsidP="007C580E"/>
    <w:p w14:paraId="7484EED4" w14:textId="77777777" w:rsidR="00106275" w:rsidRPr="00236AB1" w:rsidRDefault="00106275" w:rsidP="007C580E">
      <w:r>
        <w:rPr>
          <w:noProof/>
        </w:rPr>
        <mc:AlternateContent>
          <mc:Choice Requires="wps">
            <w:drawing>
              <wp:anchor distT="0" distB="0" distL="114300" distR="114300" simplePos="0" relativeHeight="251660288" behindDoc="0" locked="0" layoutInCell="1" allowOverlap="1" wp14:anchorId="0E9B527F" wp14:editId="77B89964">
                <wp:simplePos x="0" y="0"/>
                <wp:positionH relativeFrom="column">
                  <wp:posOffset>-3810</wp:posOffset>
                </wp:positionH>
                <wp:positionV relativeFrom="paragraph">
                  <wp:posOffset>51435</wp:posOffset>
                </wp:positionV>
                <wp:extent cx="2867025" cy="1412240"/>
                <wp:effectExtent l="0" t="0" r="28575" b="16510"/>
                <wp:wrapSquare wrapText="bothSides"/>
                <wp:docPr id="2" name="Textfeld 2"/>
                <wp:cNvGraphicFramePr/>
                <a:graphic xmlns:a="http://schemas.openxmlformats.org/drawingml/2006/main">
                  <a:graphicData uri="http://schemas.microsoft.com/office/word/2010/wordprocessingShape">
                    <wps:wsp>
                      <wps:cNvSpPr txBox="1"/>
                      <wps:spPr>
                        <a:xfrm>
                          <a:off x="0" y="0"/>
                          <a:ext cx="2867025" cy="1412240"/>
                        </a:xfrm>
                        <a:prstGeom prst="rect">
                          <a:avLst/>
                        </a:prstGeom>
                        <a:noFill/>
                        <a:ln w="6350">
                          <a:solidFill>
                            <a:prstClr val="black"/>
                          </a:solidFill>
                        </a:ln>
                      </wps:spPr>
                      <wps:txbx>
                        <w:txbxContent>
                          <w:p w14:paraId="577E236C" w14:textId="77777777" w:rsidR="00C56D7E" w:rsidRPr="00236AB1" w:rsidRDefault="00C56D7E" w:rsidP="007C580E">
                            <w:pPr>
                              <w:pStyle w:val="berschrift3"/>
                              <w:rPr>
                                <w:rFonts w:ascii="Times New Roman" w:hAnsi="Times New Roman" w:cs="Times New Roman"/>
                                <w:b w:val="0"/>
                                <w:color w:val="auto"/>
                              </w:rPr>
                            </w:pPr>
                            <w:r w:rsidRPr="00236AB1">
                              <w:rPr>
                                <w:rFonts w:ascii="Times New Roman" w:hAnsi="Times New Roman" w:cs="Times New Roman"/>
                                <w:b w:val="0"/>
                                <w:color w:val="auto"/>
                              </w:rPr>
                              <w:t>Anschlag an den Amtstafeln des Marktes Winzer</w:t>
                            </w:r>
                          </w:p>
                          <w:p w14:paraId="1D21D43B" w14:textId="2D0ED3EE" w:rsidR="00C56D7E" w:rsidRPr="00236AB1" w:rsidRDefault="00C56D7E" w:rsidP="007C580E">
                            <w:r w:rsidRPr="00236AB1">
                              <w:t xml:space="preserve">angeschlagen: </w:t>
                            </w:r>
                            <w:r w:rsidR="00AE16D4">
                              <w:t>2</w:t>
                            </w:r>
                            <w:r w:rsidR="007F5A86">
                              <w:t>1</w:t>
                            </w:r>
                            <w:r w:rsidR="00AE16D4">
                              <w:t>.08.2025</w:t>
                            </w:r>
                          </w:p>
                          <w:p w14:paraId="35D7A7C9" w14:textId="490BC16C" w:rsidR="00C56D7E" w:rsidRDefault="00C56D7E" w:rsidP="00144E06">
                            <w:r w:rsidRPr="00236AB1">
                              <w:t>abgenommen</w:t>
                            </w:r>
                            <w:r>
                              <w:t xml:space="preserve">: </w:t>
                            </w:r>
                            <w:r w:rsidR="00AE16D4">
                              <w:t>26.09.2025</w:t>
                            </w:r>
                          </w:p>
                          <w:p w14:paraId="2D4CA762" w14:textId="77777777" w:rsidR="00106275" w:rsidRDefault="00106275" w:rsidP="00144E06"/>
                          <w:p w14:paraId="70BE1A83" w14:textId="77777777" w:rsidR="00106275" w:rsidRPr="00144E06" w:rsidRDefault="00106275" w:rsidP="00144E06">
                            <w:r>
                              <w:t>Veröffentlichung auf der Homepage des Marktes Winzer (</w:t>
                            </w:r>
                            <w:hyperlink r:id="rId6" w:history="1">
                              <w:r w:rsidRPr="00EA5415">
                                <w:rPr>
                                  <w:rStyle w:val="Hyperlink"/>
                                </w:rPr>
                                <w:t>www.marktwinzer.de</w:t>
                              </w:r>
                            </w:hyperlink>
                            <w:r>
                              <w:t>) unter der Rubrik Bauen &amp; Wohnen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B527F" id="_x0000_t202" coordsize="21600,21600" o:spt="202" path="m,l,21600r21600,l21600,xe">
                <v:stroke joinstyle="miter"/>
                <v:path gradientshapeok="t" o:connecttype="rect"/>
              </v:shapetype>
              <v:shape id="Textfeld 2" o:spid="_x0000_s1026" type="#_x0000_t202" style="position:absolute;margin-left:-.3pt;margin-top:4.05pt;width:225.75pt;height:1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" filled="f" strokeweight=".5pt">
                <v:textbox>
                  <w:txbxContent>
                    <w:p w14:paraId="577E236C" w14:textId="77777777" w:rsidR="00C56D7E" w:rsidRPr="00236AB1" w:rsidRDefault="00C56D7E" w:rsidP="007C580E">
                      <w:pPr>
                        <w:pStyle w:val="berschrift3"/>
                        <w:rPr>
                          <w:rFonts w:ascii="Times New Roman" w:hAnsi="Times New Roman" w:cs="Times New Roman"/>
                          <w:b w:val="0"/>
                          <w:color w:val="auto"/>
                        </w:rPr>
                      </w:pPr>
                      <w:r w:rsidRPr="00236AB1">
                        <w:rPr>
                          <w:rFonts w:ascii="Times New Roman" w:hAnsi="Times New Roman" w:cs="Times New Roman"/>
                          <w:b w:val="0"/>
                          <w:color w:val="auto"/>
                        </w:rPr>
                        <w:t>Anschlag an den Amtstafeln des Marktes Winzer</w:t>
                      </w:r>
                    </w:p>
                    <w:p w14:paraId="1D21D43B" w14:textId="2D0ED3EE" w:rsidR="00C56D7E" w:rsidRPr="00236AB1" w:rsidRDefault="00C56D7E" w:rsidP="007C580E">
                      <w:r w:rsidRPr="00236AB1">
                        <w:t xml:space="preserve">angeschlagen: </w:t>
                      </w:r>
                      <w:r w:rsidR="00AE16D4">
                        <w:t>2</w:t>
                      </w:r>
                      <w:r w:rsidR="007F5A86">
                        <w:t>1</w:t>
                      </w:r>
                      <w:r w:rsidR="00AE16D4">
                        <w:t>.08.2025</w:t>
                      </w:r>
                    </w:p>
                    <w:p w14:paraId="35D7A7C9" w14:textId="490BC16C" w:rsidR="00C56D7E" w:rsidRDefault="00C56D7E" w:rsidP="00144E06">
                      <w:r w:rsidRPr="00236AB1">
                        <w:t>abgenommen</w:t>
                      </w:r>
                      <w:r>
                        <w:t xml:space="preserve">: </w:t>
                      </w:r>
                      <w:r w:rsidR="00AE16D4">
                        <w:t>26.09.2025</w:t>
                      </w:r>
                    </w:p>
                    <w:p w14:paraId="2D4CA762" w14:textId="77777777" w:rsidR="00106275" w:rsidRDefault="00106275" w:rsidP="00144E06"/>
                    <w:p w14:paraId="70BE1A83" w14:textId="77777777" w:rsidR="00106275" w:rsidRPr="00144E06" w:rsidRDefault="00106275" w:rsidP="00144E06">
                      <w:r>
                        <w:t>Veröffentlichung auf der Homepage des Marktes Winzer (</w:t>
                      </w:r>
                      <w:hyperlink r:id="rId7" w:history="1">
                        <w:r w:rsidRPr="00EA5415">
                          <w:rPr>
                            <w:rStyle w:val="Hyperlink"/>
                          </w:rPr>
                          <w:t>www.marktwinzer.de</w:t>
                        </w:r>
                      </w:hyperlink>
                      <w:r>
                        <w:t>) unter der Rubrik Bauen &amp; Wohnen</w:t>
                      </w:r>
                    </w:p>
                  </w:txbxContent>
                </v:textbox>
                <w10:wrap type="square"/>
              </v:shape>
            </w:pict>
          </mc:Fallback>
        </mc:AlternateContent>
      </w:r>
    </w:p>
    <w:p w14:paraId="2ACB3D8B" w14:textId="77777777" w:rsidR="00C56D7E" w:rsidRDefault="00C56D7E" w:rsidP="007C580E"/>
    <w:p w14:paraId="5204C128" w14:textId="77777777" w:rsidR="00C56D7E" w:rsidRDefault="00C56D7E" w:rsidP="007C580E"/>
    <w:p w14:paraId="1B72F632" w14:textId="77777777" w:rsidR="00C56D7E" w:rsidRPr="00236AB1" w:rsidRDefault="00C56D7E" w:rsidP="007C580E"/>
    <w:p w14:paraId="245BADC3" w14:textId="77777777" w:rsidR="00C56D7E" w:rsidRDefault="00C56D7E"/>
    <w:p w14:paraId="6C25E442" w14:textId="77777777" w:rsidR="00C56D7E" w:rsidRDefault="00C56D7E"/>
    <w:p w14:paraId="04B2B0B1" w14:textId="77777777" w:rsidR="00C56D7E" w:rsidRDefault="00C56D7E"/>
    <w:p w14:paraId="56311B64" w14:textId="77777777" w:rsidR="00C56D7E" w:rsidRDefault="00C56D7E"/>
    <w:p w14:paraId="34F4A1CC" w14:textId="77777777" w:rsidR="00C56D7E" w:rsidRDefault="00C56D7E"/>
    <w:p w14:paraId="27EFDA1D" w14:textId="77777777" w:rsidR="00106275" w:rsidRDefault="00106275"/>
    <w:p w14:paraId="1204F452" w14:textId="77777777" w:rsidR="00ED3ECB" w:rsidRDefault="00ED3ECB"/>
    <w:sectPr w:rsidR="00ED3E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D23"/>
    <w:multiLevelType w:val="hybridMultilevel"/>
    <w:tmpl w:val="03D6A0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310689"/>
    <w:multiLevelType w:val="hybridMultilevel"/>
    <w:tmpl w:val="DC32E9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904"/>
    <w:multiLevelType w:val="hybridMultilevel"/>
    <w:tmpl w:val="077687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1806B4"/>
    <w:multiLevelType w:val="hybridMultilevel"/>
    <w:tmpl w:val="CD141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3827B5"/>
    <w:multiLevelType w:val="hybridMultilevel"/>
    <w:tmpl w:val="EB5CC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583070"/>
    <w:multiLevelType w:val="hybridMultilevel"/>
    <w:tmpl w:val="F424B2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4714592">
    <w:abstractNumId w:val="4"/>
  </w:num>
  <w:num w:numId="2" w16cid:durableId="1647933072">
    <w:abstractNumId w:val="2"/>
  </w:num>
  <w:num w:numId="3" w16cid:durableId="1130244166">
    <w:abstractNumId w:val="5"/>
  </w:num>
  <w:num w:numId="4" w16cid:durableId="1309017979">
    <w:abstractNumId w:val="0"/>
  </w:num>
  <w:num w:numId="5" w16cid:durableId="1287613923">
    <w:abstractNumId w:val="1"/>
  </w:num>
  <w:num w:numId="6" w16cid:durableId="45784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67"/>
    <w:rsid w:val="0002263E"/>
    <w:rsid w:val="000756A1"/>
    <w:rsid w:val="000D4E17"/>
    <w:rsid w:val="00106275"/>
    <w:rsid w:val="00143C4A"/>
    <w:rsid w:val="00167B67"/>
    <w:rsid w:val="001E5172"/>
    <w:rsid w:val="00210694"/>
    <w:rsid w:val="00236AB1"/>
    <w:rsid w:val="002B6CD3"/>
    <w:rsid w:val="004204FA"/>
    <w:rsid w:val="0043707D"/>
    <w:rsid w:val="005018F6"/>
    <w:rsid w:val="00587E0E"/>
    <w:rsid w:val="005D7F4B"/>
    <w:rsid w:val="005E7AF3"/>
    <w:rsid w:val="006A08F5"/>
    <w:rsid w:val="007C580E"/>
    <w:rsid w:val="007F5A86"/>
    <w:rsid w:val="00897FCC"/>
    <w:rsid w:val="008D527D"/>
    <w:rsid w:val="008F0594"/>
    <w:rsid w:val="00932CAB"/>
    <w:rsid w:val="00933498"/>
    <w:rsid w:val="00977B33"/>
    <w:rsid w:val="009A3FDE"/>
    <w:rsid w:val="00AE16D4"/>
    <w:rsid w:val="00B03B7B"/>
    <w:rsid w:val="00BD7AC2"/>
    <w:rsid w:val="00C56D7E"/>
    <w:rsid w:val="00D36740"/>
    <w:rsid w:val="00E45547"/>
    <w:rsid w:val="00ED3ECB"/>
    <w:rsid w:val="00F0648F"/>
    <w:rsid w:val="00F07A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8048"/>
  <w15:docId w15:val="{3ECC2675-9A81-4667-9B78-F64CF6CF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7B67"/>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167B67"/>
    <w:pPr>
      <w:keepNext/>
      <w:outlineLvl w:val="0"/>
    </w:pPr>
    <w:rPr>
      <w:b/>
    </w:rPr>
  </w:style>
  <w:style w:type="paragraph" w:styleId="berschrift2">
    <w:name w:val="heading 2"/>
    <w:basedOn w:val="Standard"/>
    <w:next w:val="Standard"/>
    <w:link w:val="berschrift2Zchn"/>
    <w:semiHidden/>
    <w:unhideWhenUsed/>
    <w:qFormat/>
    <w:rsid w:val="00167B67"/>
    <w:pPr>
      <w:keepNext/>
      <w:jc w:val="center"/>
      <w:outlineLvl w:val="1"/>
    </w:pPr>
    <w:rPr>
      <w:b/>
      <w:sz w:val="32"/>
      <w:u w:val="single"/>
    </w:rPr>
  </w:style>
  <w:style w:type="paragraph" w:styleId="berschrift3">
    <w:name w:val="heading 3"/>
    <w:basedOn w:val="Standard"/>
    <w:next w:val="Standard"/>
    <w:link w:val="berschrift3Zchn"/>
    <w:uiPriority w:val="9"/>
    <w:semiHidden/>
    <w:unhideWhenUsed/>
    <w:qFormat/>
    <w:rsid w:val="007C580E"/>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67B67"/>
    <w:rPr>
      <w:rFonts w:ascii="Times New Roman" w:eastAsia="Times New Roman" w:hAnsi="Times New Roman" w:cs="Times New Roman"/>
      <w:b/>
      <w:sz w:val="20"/>
      <w:szCs w:val="20"/>
      <w:lang w:eastAsia="de-DE"/>
    </w:rPr>
  </w:style>
  <w:style w:type="character" w:customStyle="1" w:styleId="berschrift2Zchn">
    <w:name w:val="Überschrift 2 Zchn"/>
    <w:basedOn w:val="Absatz-Standardschriftart"/>
    <w:link w:val="berschrift2"/>
    <w:semiHidden/>
    <w:rsid w:val="00167B67"/>
    <w:rPr>
      <w:rFonts w:ascii="Times New Roman" w:eastAsia="Times New Roman" w:hAnsi="Times New Roman" w:cs="Times New Roman"/>
      <w:b/>
      <w:sz w:val="32"/>
      <w:szCs w:val="20"/>
      <w:u w:val="single"/>
      <w:lang w:eastAsia="de-DE"/>
    </w:rPr>
  </w:style>
  <w:style w:type="paragraph" w:styleId="Textkrper">
    <w:name w:val="Body Text"/>
    <w:basedOn w:val="Standard"/>
    <w:link w:val="TextkrperZchn"/>
    <w:semiHidden/>
    <w:unhideWhenUsed/>
    <w:rsid w:val="00167B67"/>
    <w:rPr>
      <w:b/>
    </w:rPr>
  </w:style>
  <w:style w:type="character" w:customStyle="1" w:styleId="TextkrperZchn">
    <w:name w:val="Textkörper Zchn"/>
    <w:basedOn w:val="Absatz-Standardschriftart"/>
    <w:link w:val="Textkrper"/>
    <w:semiHidden/>
    <w:rsid w:val="00167B67"/>
    <w:rPr>
      <w:rFonts w:ascii="Times New Roman" w:eastAsia="Times New Roman" w:hAnsi="Times New Roman" w:cs="Times New Roman"/>
      <w:b/>
      <w:sz w:val="20"/>
      <w:szCs w:val="20"/>
      <w:lang w:eastAsia="de-DE"/>
    </w:rPr>
  </w:style>
  <w:style w:type="character" w:customStyle="1" w:styleId="berschrift3Zchn">
    <w:name w:val="Überschrift 3 Zchn"/>
    <w:basedOn w:val="Absatz-Standardschriftart"/>
    <w:link w:val="berschrift3"/>
    <w:uiPriority w:val="9"/>
    <w:semiHidden/>
    <w:rsid w:val="007C580E"/>
    <w:rPr>
      <w:rFonts w:asciiTheme="majorHAnsi" w:eastAsiaTheme="majorEastAsia" w:hAnsiTheme="majorHAnsi" w:cstheme="majorBidi"/>
      <w:b/>
      <w:bCs/>
      <w:color w:val="4F81BD" w:themeColor="accent1"/>
      <w:sz w:val="20"/>
      <w:szCs w:val="20"/>
      <w:lang w:eastAsia="de-DE"/>
    </w:rPr>
  </w:style>
  <w:style w:type="character" w:styleId="Hyperlink">
    <w:name w:val="Hyperlink"/>
    <w:uiPriority w:val="99"/>
    <w:rsid w:val="00977B33"/>
    <w:rPr>
      <w:color w:val="0000FF"/>
      <w:u w:val="single"/>
    </w:rPr>
  </w:style>
  <w:style w:type="paragraph" w:styleId="Listenabsatz">
    <w:name w:val="List Paragraph"/>
    <w:basedOn w:val="Standard"/>
    <w:uiPriority w:val="34"/>
    <w:qFormat/>
    <w:rsid w:val="00236AB1"/>
    <w:pPr>
      <w:ind w:left="720"/>
      <w:contextualSpacing/>
    </w:pPr>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106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twinz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twinzer.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Baumgaertler</dc:creator>
  <cp:lastModifiedBy>Karin Weiss</cp:lastModifiedBy>
  <cp:revision>4</cp:revision>
  <cp:lastPrinted>2025-08-21T13:29:00Z</cp:lastPrinted>
  <dcterms:created xsi:type="dcterms:W3CDTF">2025-08-21T13:23:00Z</dcterms:created>
  <dcterms:modified xsi:type="dcterms:W3CDTF">2025-08-21T13:30:00Z</dcterms:modified>
</cp:coreProperties>
</file>